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008F3" w14:textId="430A833E" w:rsidR="00C60869" w:rsidRDefault="00C60869" w:rsidP="00C60869">
      <w:pPr>
        <w:jc w:val="both"/>
        <w:rPr>
          <w:color w:val="538135" w:themeColor="accent6" w:themeShade="BF"/>
          <w:sz w:val="28"/>
          <w:szCs w:val="28"/>
          <w:lang w:val="pl-PL"/>
        </w:rPr>
      </w:pPr>
      <w:r w:rsidRPr="00C60869">
        <w:rPr>
          <w:color w:val="538135" w:themeColor="accent6" w:themeShade="BF"/>
          <w:sz w:val="28"/>
          <w:szCs w:val="28"/>
          <w:lang w:val="pl-PL"/>
        </w:rPr>
        <w:t xml:space="preserve">Opracowanie biznesplanu ujmującego model rozwoju Grupy Kapitałowej WĘGLOKOKS w obszarze obrotu energią i gazem </w:t>
      </w:r>
      <w:r>
        <w:rPr>
          <w:color w:val="538135" w:themeColor="accent6" w:themeShade="BF"/>
          <w:sz w:val="28"/>
          <w:szCs w:val="28"/>
          <w:lang w:val="pl-PL"/>
        </w:rPr>
        <w:t>ziemnym</w:t>
      </w:r>
    </w:p>
    <w:p w14:paraId="0559A8DC" w14:textId="5668A402" w:rsidR="006414EB" w:rsidRDefault="006414EB" w:rsidP="00C60869">
      <w:p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Opracowanie winno zawierać poniższe dwa zagadnienia, ujmujące pełne spektrum planowanej nowej odnogi biznesowej GK WĘGLOKOKS. Finalny dokument ma na celu umożliwienie podjęcia decyzji biznesowej o rozpoczęciu działalności w zakresie wskazanym z biznesplanie.</w:t>
      </w:r>
    </w:p>
    <w:p w14:paraId="0768C882" w14:textId="77777777" w:rsidR="006414EB" w:rsidRPr="00C60869" w:rsidRDefault="006414EB" w:rsidP="00C60869">
      <w:pPr>
        <w:jc w:val="both"/>
        <w:rPr>
          <w:color w:val="538135" w:themeColor="accent6" w:themeShade="BF"/>
          <w:sz w:val="28"/>
          <w:szCs w:val="28"/>
          <w:lang w:val="pl-PL"/>
        </w:rPr>
      </w:pPr>
    </w:p>
    <w:p w14:paraId="45F601E3" w14:textId="1DA92E1A" w:rsidR="00C60869" w:rsidRPr="003745FB" w:rsidRDefault="00C60869" w:rsidP="003745FB">
      <w:pPr>
        <w:pStyle w:val="Akapitzlist"/>
        <w:numPr>
          <w:ilvl w:val="0"/>
          <w:numId w:val="8"/>
        </w:numPr>
        <w:jc w:val="both"/>
        <w:rPr>
          <w:b/>
          <w:bCs/>
          <w:lang w:val="pl-PL"/>
        </w:rPr>
      </w:pPr>
      <w:r w:rsidRPr="003745FB">
        <w:rPr>
          <w:b/>
          <w:bCs/>
          <w:lang w:val="pl-PL"/>
        </w:rPr>
        <w:t xml:space="preserve">Analiza obecnego sposobu zakupu/zabezpieczenia dostaw na energię elektryczną oraz  gaz ziemny w Grupie Kapitałowej WĘGLOKOKS. Analiza porównawcza z podmiotami działającymi na rynku świadczącymi usługi sprzedaży/obrotu towarów w domenie działalności Grupy (obszar </w:t>
      </w:r>
      <w:proofErr w:type="spellStart"/>
      <w:r w:rsidRPr="003745FB">
        <w:rPr>
          <w:b/>
          <w:bCs/>
          <w:lang w:val="pl-PL"/>
        </w:rPr>
        <w:t>energetyczno</w:t>
      </w:r>
      <w:proofErr w:type="spellEnd"/>
      <w:r w:rsidRPr="003745FB">
        <w:rPr>
          <w:b/>
          <w:bCs/>
          <w:lang w:val="pl-PL"/>
        </w:rPr>
        <w:t xml:space="preserve"> – ciepłowniczy). </w:t>
      </w:r>
    </w:p>
    <w:p w14:paraId="6A2514A1" w14:textId="77777777" w:rsidR="00B4031C" w:rsidRDefault="00B4031C" w:rsidP="00C60869">
      <w:p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B4031C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Należy dokonać przeglądu obecnych praktyk i regulaminu zakupu mediów w ramach GK WĘGLOKOKS (energia elektryczna, gaz ziemny) </w:t>
      </w:r>
      <w:r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przez pryzmat zmian na rynku, oraz działalności pokrewnych podmiotów. </w:t>
      </w:r>
    </w:p>
    <w:p w14:paraId="5ADD4840" w14:textId="1BE03C03" w:rsidR="00B4031C" w:rsidRDefault="00B4031C" w:rsidP="00C60869">
      <w:p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Oczekuje się w szczególności:</w:t>
      </w:r>
    </w:p>
    <w:p w14:paraId="6EA556AB" w14:textId="7B33D98E" w:rsidR="00B4031C" w:rsidRPr="00B4031C" w:rsidRDefault="00B4031C" w:rsidP="00B4031C">
      <w:pPr>
        <w:pStyle w:val="Akapitzlist"/>
        <w:numPr>
          <w:ilvl w:val="0"/>
          <w:numId w:val="4"/>
        </w:num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B4031C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Analiza dotychczasowych zasad </w:t>
      </w:r>
      <w:r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zakupu</w:t>
      </w:r>
      <w:r w:rsidRPr="00B4031C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 energii </w:t>
      </w:r>
      <w:r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elektrycznej oraz</w:t>
      </w:r>
      <w:r w:rsidRPr="00B4031C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 gazu </w:t>
      </w:r>
      <w:r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ziemnego w celu zabezpieczenia dostaw dla GK WĘGLOKOKS w tym analiza </w:t>
      </w:r>
      <w:r w:rsidRPr="00B4031C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aktualnego podziału odpowiedzialności i kompet</w:t>
      </w:r>
      <w:r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encji jednostek organizacyjnych.</w:t>
      </w:r>
    </w:p>
    <w:p w14:paraId="57FADA20" w14:textId="6FCC8D06" w:rsidR="00B4031C" w:rsidRPr="00B4031C" w:rsidRDefault="00B4031C" w:rsidP="00B4031C">
      <w:pPr>
        <w:pStyle w:val="Akapitzlist"/>
        <w:numPr>
          <w:ilvl w:val="0"/>
          <w:numId w:val="4"/>
        </w:num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B4031C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Analiza </w:t>
      </w:r>
      <w:r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sposobu planowania oraz agregowania informacji w zakresie prognoz zużycia energii elektrycznej oraz gazu ziemnego.</w:t>
      </w:r>
    </w:p>
    <w:p w14:paraId="4D8EEF24" w14:textId="7C707C6A" w:rsidR="00B4031C" w:rsidRPr="00B4031C" w:rsidRDefault="00B4031C" w:rsidP="00B4031C">
      <w:pPr>
        <w:pStyle w:val="Akapitzlist"/>
        <w:numPr>
          <w:ilvl w:val="0"/>
          <w:numId w:val="4"/>
        </w:num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B4031C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Analiza stosowanych </w:t>
      </w:r>
      <w:r w:rsidR="005F6A3A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praktyk w GK WĘGLOKOK </w:t>
      </w:r>
      <w:r w:rsidRPr="00B4031C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zasad optymalizacji cen na rynku energii elektrycznej i gazu z punktu widzenia zarządzania ryzykiem cen</w:t>
      </w:r>
    </w:p>
    <w:p w14:paraId="7F791908" w14:textId="77777777" w:rsidR="00B4031C" w:rsidRPr="00B4031C" w:rsidRDefault="00B4031C" w:rsidP="00B4031C">
      <w:pPr>
        <w:pStyle w:val="Akapitzlist"/>
        <w:numPr>
          <w:ilvl w:val="0"/>
          <w:numId w:val="4"/>
        </w:num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B4031C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Analiza rynku sprzedaży energii</w:t>
      </w:r>
    </w:p>
    <w:p w14:paraId="63C249C1" w14:textId="77777777" w:rsidR="00B4031C" w:rsidRPr="00B4031C" w:rsidRDefault="00B4031C" w:rsidP="00B4031C">
      <w:pPr>
        <w:pStyle w:val="Akapitzlist"/>
        <w:numPr>
          <w:ilvl w:val="1"/>
          <w:numId w:val="4"/>
        </w:num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B4031C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Podstawowe informacje o rynku sprzedaży energii</w:t>
      </w:r>
    </w:p>
    <w:p w14:paraId="2F946913" w14:textId="77777777" w:rsidR="00B4031C" w:rsidRPr="00B4031C" w:rsidRDefault="00B4031C" w:rsidP="00B4031C">
      <w:pPr>
        <w:pStyle w:val="Akapitzlist"/>
        <w:numPr>
          <w:ilvl w:val="1"/>
          <w:numId w:val="4"/>
        </w:num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B4031C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Charakterystyka rynku energii w Polsce i Europie</w:t>
      </w:r>
    </w:p>
    <w:p w14:paraId="6B8FD052" w14:textId="77777777" w:rsidR="00B4031C" w:rsidRPr="00B4031C" w:rsidRDefault="00B4031C" w:rsidP="00B4031C">
      <w:pPr>
        <w:pStyle w:val="Akapitzlist"/>
        <w:numPr>
          <w:ilvl w:val="1"/>
          <w:numId w:val="4"/>
        </w:num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B4031C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Kluczowi konkurenci</w:t>
      </w:r>
    </w:p>
    <w:p w14:paraId="0737D281" w14:textId="77777777" w:rsidR="00B4031C" w:rsidRPr="00B4031C" w:rsidRDefault="00B4031C" w:rsidP="00B4031C">
      <w:pPr>
        <w:pStyle w:val="Akapitzlist"/>
        <w:numPr>
          <w:ilvl w:val="1"/>
          <w:numId w:val="4"/>
        </w:num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B4031C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Trendy i zmiany oczekiwane na rynku energii w przyszłości </w:t>
      </w:r>
    </w:p>
    <w:p w14:paraId="039343F5" w14:textId="77777777" w:rsidR="00B4031C" w:rsidRPr="00B4031C" w:rsidRDefault="00B4031C" w:rsidP="00B4031C">
      <w:pPr>
        <w:pStyle w:val="Akapitzlist"/>
        <w:numPr>
          <w:ilvl w:val="1"/>
          <w:numId w:val="4"/>
        </w:num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B4031C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Dojrzałość rynku polskiego na tle państw zachodnich </w:t>
      </w:r>
    </w:p>
    <w:p w14:paraId="43A2BE1C" w14:textId="77777777" w:rsidR="00B4031C" w:rsidRPr="00B4031C" w:rsidRDefault="00B4031C" w:rsidP="00B4031C">
      <w:pPr>
        <w:pStyle w:val="Akapitzlist"/>
        <w:numPr>
          <w:ilvl w:val="1"/>
          <w:numId w:val="4"/>
        </w:num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B4031C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Marżowość poszczególnych segmentów klientów </w:t>
      </w:r>
    </w:p>
    <w:p w14:paraId="5564032D" w14:textId="77777777" w:rsidR="00B4031C" w:rsidRPr="00B4031C" w:rsidRDefault="00B4031C" w:rsidP="00B4031C">
      <w:pPr>
        <w:pStyle w:val="Akapitzlist"/>
        <w:numPr>
          <w:ilvl w:val="1"/>
          <w:numId w:val="4"/>
        </w:num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B4031C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Bariery wejścia na rynek </w:t>
      </w:r>
    </w:p>
    <w:p w14:paraId="78DAA85D" w14:textId="77777777" w:rsidR="00B4031C" w:rsidRPr="00B4031C" w:rsidRDefault="00B4031C" w:rsidP="00B4031C">
      <w:pPr>
        <w:pStyle w:val="Akapitzlist"/>
        <w:numPr>
          <w:ilvl w:val="0"/>
          <w:numId w:val="4"/>
        </w:num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B4031C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Analiza rynku gazu</w:t>
      </w:r>
    </w:p>
    <w:p w14:paraId="777A01E0" w14:textId="77777777" w:rsidR="00B4031C" w:rsidRPr="00B4031C" w:rsidRDefault="00B4031C" w:rsidP="00B4031C">
      <w:pPr>
        <w:pStyle w:val="Akapitzlist"/>
        <w:numPr>
          <w:ilvl w:val="1"/>
          <w:numId w:val="4"/>
        </w:num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B4031C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Podstawowe informacje o rynku sprzedaży gazu </w:t>
      </w:r>
    </w:p>
    <w:p w14:paraId="1EA6E597" w14:textId="77777777" w:rsidR="00B4031C" w:rsidRPr="00B4031C" w:rsidRDefault="00B4031C" w:rsidP="00B4031C">
      <w:pPr>
        <w:pStyle w:val="Akapitzlist"/>
        <w:numPr>
          <w:ilvl w:val="1"/>
          <w:numId w:val="4"/>
        </w:num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B4031C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Charakterystyka rynku gazu w Polsce i w Europie </w:t>
      </w:r>
    </w:p>
    <w:p w14:paraId="03C28509" w14:textId="77777777" w:rsidR="00B4031C" w:rsidRPr="00B4031C" w:rsidRDefault="00B4031C" w:rsidP="00B4031C">
      <w:pPr>
        <w:pStyle w:val="Akapitzlist"/>
        <w:numPr>
          <w:ilvl w:val="1"/>
          <w:numId w:val="4"/>
        </w:num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B4031C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Kluczowi konkurenci </w:t>
      </w:r>
    </w:p>
    <w:p w14:paraId="58766011" w14:textId="77777777" w:rsidR="00B4031C" w:rsidRPr="00B4031C" w:rsidRDefault="00B4031C" w:rsidP="00B4031C">
      <w:pPr>
        <w:pStyle w:val="Akapitzlist"/>
        <w:numPr>
          <w:ilvl w:val="1"/>
          <w:numId w:val="4"/>
        </w:num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B4031C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Trendy i zmiany oczekiwane na rynku gazu w przyszłości </w:t>
      </w:r>
    </w:p>
    <w:p w14:paraId="5050560C" w14:textId="77777777" w:rsidR="00B4031C" w:rsidRPr="00B4031C" w:rsidRDefault="00B4031C" w:rsidP="00B4031C">
      <w:pPr>
        <w:pStyle w:val="Akapitzlist"/>
        <w:numPr>
          <w:ilvl w:val="1"/>
          <w:numId w:val="4"/>
        </w:num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B4031C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Dojrzałość rynku polskiego na tle państw zachodnich </w:t>
      </w:r>
    </w:p>
    <w:p w14:paraId="3501FD73" w14:textId="77777777" w:rsidR="00B4031C" w:rsidRPr="00B4031C" w:rsidRDefault="00B4031C" w:rsidP="00B4031C">
      <w:pPr>
        <w:pStyle w:val="Akapitzlist"/>
        <w:numPr>
          <w:ilvl w:val="1"/>
          <w:numId w:val="4"/>
        </w:num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B4031C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Marżowość poszczególnych segmentów klientów </w:t>
      </w:r>
    </w:p>
    <w:p w14:paraId="2864FE9E" w14:textId="77777777" w:rsidR="00B4031C" w:rsidRPr="00B4031C" w:rsidRDefault="00B4031C" w:rsidP="00B4031C">
      <w:pPr>
        <w:pStyle w:val="Akapitzlist"/>
        <w:numPr>
          <w:ilvl w:val="1"/>
          <w:numId w:val="4"/>
        </w:num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B4031C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Bariery wejścia na rynek</w:t>
      </w:r>
    </w:p>
    <w:p w14:paraId="7CBECDBE" w14:textId="77777777" w:rsidR="00133987" w:rsidRPr="00133987" w:rsidRDefault="00133987" w:rsidP="00133987">
      <w:pPr>
        <w:pStyle w:val="Akapitzlist"/>
        <w:numPr>
          <w:ilvl w:val="0"/>
          <w:numId w:val="4"/>
        </w:numPr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133987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Wskazanie</w:t>
      </w:r>
      <w:r w:rsidR="00B4031C" w:rsidRPr="00133987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 praktyk rynkowych </w:t>
      </w:r>
      <w:r w:rsidRPr="00133987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realizowanych przez podmioty działające na rynku świadczące usługi sprzedaży/obrotu energią elektryczną oraz gazem ziemnym. Należy przedstawić m.in. rynki zbytu/usług, zakres grup klientów, strategię/zasady podziału odpowiedzialności i kompetencji pomiędzy jednostki organizacyjne</w:t>
      </w:r>
    </w:p>
    <w:p w14:paraId="62F92403" w14:textId="77777777" w:rsidR="00B4031C" w:rsidRPr="00B4031C" w:rsidRDefault="00B4031C" w:rsidP="00C60869">
      <w:p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</w:p>
    <w:p w14:paraId="0977DE40" w14:textId="0D821E6A" w:rsidR="00C60869" w:rsidRDefault="00C60869" w:rsidP="003745FB">
      <w:pPr>
        <w:pStyle w:val="Akapitzlist"/>
        <w:numPr>
          <w:ilvl w:val="0"/>
          <w:numId w:val="8"/>
        </w:numPr>
        <w:jc w:val="both"/>
        <w:rPr>
          <w:b/>
          <w:bCs/>
          <w:lang w:val="pl-PL"/>
        </w:rPr>
      </w:pPr>
      <w:r>
        <w:rPr>
          <w:b/>
          <w:bCs/>
          <w:lang w:val="pl-PL"/>
        </w:rPr>
        <w:lastRenderedPageBreak/>
        <w:t xml:space="preserve">Opracowanie </w:t>
      </w:r>
      <w:r w:rsidR="00133987">
        <w:rPr>
          <w:b/>
          <w:bCs/>
          <w:lang w:val="pl-PL"/>
        </w:rPr>
        <w:t>b</w:t>
      </w:r>
      <w:r w:rsidR="00133987" w:rsidRPr="00133987">
        <w:rPr>
          <w:b/>
          <w:bCs/>
          <w:lang w:val="pl-PL"/>
        </w:rPr>
        <w:t xml:space="preserve">iznesplanu ujmującego model rozwoju Grupy Kapitałowej WĘGLOKOKS </w:t>
      </w:r>
      <w:r w:rsidR="003745FB">
        <w:rPr>
          <w:b/>
          <w:bCs/>
          <w:lang w:val="pl-PL"/>
        </w:rPr>
        <w:br/>
      </w:r>
      <w:r w:rsidR="00133987" w:rsidRPr="00133987">
        <w:rPr>
          <w:b/>
          <w:bCs/>
          <w:lang w:val="pl-PL"/>
        </w:rPr>
        <w:t>w obszarze obrotu energią i gazem ziemnym</w:t>
      </w:r>
    </w:p>
    <w:p w14:paraId="3ED64244" w14:textId="237E637E" w:rsidR="00133987" w:rsidRDefault="00133987" w:rsidP="00C60869">
      <w:p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133987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Oczekuje się </w:t>
      </w:r>
      <w:r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przedstawienia </w:t>
      </w:r>
      <w:r w:rsidR="00815112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biznesplanu ujmującego </w:t>
      </w:r>
      <w:r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modelu rozwoju z uwzględnieniem czterech </w:t>
      </w:r>
      <w:r w:rsidR="00815112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obszarów planowanej działalności</w:t>
      </w:r>
      <w:r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 tj.:</w:t>
      </w:r>
    </w:p>
    <w:p w14:paraId="60715681" w14:textId="31CBD40E" w:rsidR="00133987" w:rsidRPr="00133987" w:rsidRDefault="00133987" w:rsidP="00133987">
      <w:pPr>
        <w:pStyle w:val="Akapitzlist"/>
        <w:numPr>
          <w:ilvl w:val="1"/>
          <w:numId w:val="7"/>
        </w:numPr>
        <w:ind w:left="851"/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133987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Za</w:t>
      </w:r>
      <w:r w:rsidR="00815112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spokojenia potrzeb spółek GK WĘGLOKOKS</w:t>
      </w:r>
      <w:r w:rsidRPr="00133987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 na energię</w:t>
      </w:r>
      <w:r w:rsidR="00815112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 elektryczną</w:t>
      </w:r>
      <w:r w:rsidRPr="00133987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 i gaz</w:t>
      </w:r>
      <w:r w:rsidR="00815112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 ziemny</w:t>
      </w:r>
      <w:r w:rsidRPr="00133987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,</w:t>
      </w:r>
    </w:p>
    <w:p w14:paraId="77107923" w14:textId="4BD01FE7" w:rsidR="00133987" w:rsidRPr="00133987" w:rsidRDefault="00133987" w:rsidP="00133987">
      <w:pPr>
        <w:pStyle w:val="Akapitzlist"/>
        <w:numPr>
          <w:ilvl w:val="1"/>
          <w:numId w:val="7"/>
        </w:numPr>
        <w:ind w:left="851"/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133987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Rozwoju sprzedaży energii </w:t>
      </w:r>
      <w:r w:rsidR="00815112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elektrycznej </w:t>
      </w:r>
      <w:r w:rsidRPr="00133987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i gazu</w:t>
      </w:r>
      <w:r w:rsidR="00815112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 ziemnego</w:t>
      </w:r>
      <w:r w:rsidRPr="00133987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 </w:t>
      </w:r>
      <w:r w:rsidR="00815112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dla klientów spoza GK WĘGLOKOKS</w:t>
      </w:r>
      <w:r w:rsidRPr="00133987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,</w:t>
      </w:r>
    </w:p>
    <w:p w14:paraId="4E043198" w14:textId="52785D53" w:rsidR="00133987" w:rsidRPr="00133987" w:rsidRDefault="00133987" w:rsidP="00133987">
      <w:pPr>
        <w:pStyle w:val="Akapitzlist"/>
        <w:numPr>
          <w:ilvl w:val="1"/>
          <w:numId w:val="7"/>
        </w:numPr>
        <w:ind w:left="851"/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133987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Rozwoju sprzedaży usług ESCO </w:t>
      </w:r>
      <w:r w:rsidR="00815112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zarówno wewnątrz jak i na zewnątrz GK WĘGLOKOKS</w:t>
      </w:r>
      <w:r w:rsidRPr="00133987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,</w:t>
      </w:r>
    </w:p>
    <w:p w14:paraId="11EF740E" w14:textId="5E611042" w:rsidR="00133987" w:rsidRPr="00133987" w:rsidRDefault="00133987" w:rsidP="00133987">
      <w:pPr>
        <w:pStyle w:val="Akapitzlist"/>
        <w:numPr>
          <w:ilvl w:val="1"/>
          <w:numId w:val="7"/>
        </w:numPr>
        <w:ind w:left="851"/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133987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Rozwoju </w:t>
      </w:r>
      <w:r w:rsidR="00815112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działalności w oparciu o </w:t>
      </w:r>
      <w:r w:rsidRPr="00133987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trading w </w:t>
      </w:r>
      <w:r w:rsidR="00815112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GK WĘGLOKOKS</w:t>
      </w:r>
      <w:r w:rsidRPr="00133987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.</w:t>
      </w:r>
    </w:p>
    <w:p w14:paraId="041C8C7C" w14:textId="59E0C64B" w:rsidR="00815112" w:rsidRPr="00815112" w:rsidRDefault="00815112" w:rsidP="00815112">
      <w:p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815112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Przedstawienie możliwych modeli biznesowych, obecnie stosowanych przez podmioty działające </w:t>
      </w:r>
      <w:r w:rsidR="006414EB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br/>
      </w:r>
      <w:r w:rsidRPr="00815112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w domenie niniejszego zapytania </w:t>
      </w:r>
      <w:r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z uwzględnieniem powyżej przedstawionych obszarów planowanej działalności.</w:t>
      </w:r>
    </w:p>
    <w:p w14:paraId="1EA27F4B" w14:textId="0E749CA2" w:rsidR="00815112" w:rsidRDefault="00815112" w:rsidP="00815112">
      <w:p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Wymaga się aby biznesplan/analiza </w:t>
      </w:r>
      <w:r w:rsidR="003745FB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uwzględniała </w:t>
      </w:r>
      <w:r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również </w:t>
      </w:r>
      <w:r w:rsidRPr="00815112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możliw</w:t>
      </w:r>
      <w:r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e do uzyskania synergie </w:t>
      </w:r>
      <w:r w:rsidR="003745FB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przede wszystkim przez pryzmat budowania </w:t>
      </w:r>
      <w:r w:rsidR="003745FB" w:rsidRPr="003745FB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oferty produktowej łączącej sprzedaż energii (ciepła i energii elektrycznej) w połączeniu ze świadczeniem usług ESCO.</w:t>
      </w:r>
    </w:p>
    <w:p w14:paraId="2AA9989E" w14:textId="2326E6F2" w:rsidR="003745FB" w:rsidRDefault="003745FB" w:rsidP="00815112">
      <w:p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Oczekuje się przedstawienie analizy strategicznej takich jak:</w:t>
      </w:r>
    </w:p>
    <w:p w14:paraId="283396E7" w14:textId="77777777" w:rsidR="003745FB" w:rsidRPr="003745FB" w:rsidRDefault="003745FB" w:rsidP="003745FB">
      <w:pPr>
        <w:pStyle w:val="Akapitzlist"/>
        <w:numPr>
          <w:ilvl w:val="1"/>
          <w:numId w:val="5"/>
        </w:numPr>
        <w:ind w:left="851"/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3745FB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Analiza SWOT</w:t>
      </w:r>
    </w:p>
    <w:p w14:paraId="5E30D1CA" w14:textId="77777777" w:rsidR="003745FB" w:rsidRPr="003745FB" w:rsidRDefault="003745FB" w:rsidP="003745FB">
      <w:pPr>
        <w:pStyle w:val="Akapitzlist"/>
        <w:numPr>
          <w:ilvl w:val="1"/>
          <w:numId w:val="5"/>
        </w:numPr>
        <w:ind w:left="851"/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3745FB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Analiza portfelowa (Macierz BCG, Macierz </w:t>
      </w:r>
      <w:proofErr w:type="spellStart"/>
      <w:r w:rsidRPr="003745FB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Ansoffa</w:t>
      </w:r>
      <w:proofErr w:type="spellEnd"/>
      <w:r w:rsidRPr="003745FB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, itp.)</w:t>
      </w:r>
    </w:p>
    <w:p w14:paraId="11ED233A" w14:textId="77777777" w:rsidR="003745FB" w:rsidRPr="003745FB" w:rsidRDefault="003745FB" w:rsidP="003745FB">
      <w:pPr>
        <w:pStyle w:val="Akapitzlist"/>
        <w:numPr>
          <w:ilvl w:val="1"/>
          <w:numId w:val="5"/>
        </w:numPr>
        <w:ind w:left="851"/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3745FB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Analiza kluczowych czynników sukcesu</w:t>
      </w:r>
    </w:p>
    <w:p w14:paraId="10795EFC" w14:textId="3700EA8C" w:rsidR="00C60869" w:rsidRPr="00C609C8" w:rsidRDefault="006414EB" w:rsidP="003745FB">
      <w:p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Należy również przedstawić rekomendacje w zakresie </w:t>
      </w:r>
      <w:r w:rsidR="00C60869" w:rsidRP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modelu biznesowego oraz priorytetowych kierunków rozwoju </w:t>
      </w:r>
      <w:r w:rsidRP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dla GK WĘGLOKOKS</w:t>
      </w:r>
      <w:r w:rsidR="00C60869" w:rsidRP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 w obszarze obrotu energią i gazem</w:t>
      </w:r>
      <w:r w:rsidRP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 – rekomendacja poparta analizą finansową o rentowności planowanej działalności.</w:t>
      </w:r>
      <w:r w:rsid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 Analiza finansowa finna zawierać model xls (biznesplan) wskazujący ocenę efektywności ekonomicznej nowej działalności. </w:t>
      </w:r>
      <w:r w:rsidR="00C609C8" w:rsidRP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Należy przedstawić analiz</w:t>
      </w:r>
      <w:r w:rsid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ę</w:t>
      </w:r>
      <w:r w:rsidR="00C609C8" w:rsidRP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 rentowności przedsięwzięcia w oparciu o wskaźniki NPV, NPNR, IRR dla projektu oraz EBIT, EBITDA dla późniejszej działalności operacyjnej (w oparciu o opracowaną prognozę).</w:t>
      </w:r>
    </w:p>
    <w:p w14:paraId="1B99E50E" w14:textId="24CE495E" w:rsidR="00C60869" w:rsidRPr="00C609C8" w:rsidRDefault="00C609C8" w:rsidP="00C609C8">
      <w:p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Oczekuje się przedstawienie </w:t>
      </w:r>
      <w:r w:rsidR="00C60869" w:rsidRP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planu organizacji oraz zarządzania dla rekomendowanego modelu biznesowego oraz priorytetowych kierunków rozwoju </w:t>
      </w:r>
      <w:r w:rsidRP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nowej działalności GK WĘGLOKOK</w:t>
      </w:r>
      <w:r w:rsidR="00C60869" w:rsidRP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 w obszarze obrotu energią i gazem</w:t>
      </w:r>
      <w:r w:rsidRP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 w tym</w:t>
      </w:r>
    </w:p>
    <w:p w14:paraId="79F516F6" w14:textId="77777777" w:rsidR="00C60869" w:rsidRPr="00C609C8" w:rsidRDefault="00C60869" w:rsidP="00C609C8">
      <w:pPr>
        <w:pStyle w:val="Akapitzlist"/>
        <w:numPr>
          <w:ilvl w:val="0"/>
          <w:numId w:val="9"/>
        </w:numPr>
        <w:ind w:left="709"/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Opracowanie struktury organizacyjnej w obszarze obrotu energią i gazem,</w:t>
      </w:r>
    </w:p>
    <w:p w14:paraId="4A7EC324" w14:textId="77777777" w:rsidR="00C60869" w:rsidRPr="00C609C8" w:rsidRDefault="00C60869" w:rsidP="00C609C8">
      <w:pPr>
        <w:pStyle w:val="Akapitzlist"/>
        <w:numPr>
          <w:ilvl w:val="0"/>
          <w:numId w:val="9"/>
        </w:numPr>
        <w:ind w:left="709"/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Opracowanie planu zatrudnienia,</w:t>
      </w:r>
    </w:p>
    <w:p w14:paraId="7C112BF1" w14:textId="77777777" w:rsidR="00C60869" w:rsidRPr="00C609C8" w:rsidRDefault="00C60869" w:rsidP="00C609C8">
      <w:pPr>
        <w:pStyle w:val="Akapitzlist"/>
        <w:numPr>
          <w:ilvl w:val="0"/>
          <w:numId w:val="9"/>
        </w:numPr>
        <w:ind w:left="709"/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Opracowanie założeń do systemu wynagradzania i systemu motywacyjnego,</w:t>
      </w:r>
    </w:p>
    <w:p w14:paraId="39CFC406" w14:textId="29F6F429" w:rsidR="00C60869" w:rsidRDefault="00C60869" w:rsidP="00C609C8">
      <w:pPr>
        <w:pStyle w:val="Akapitzlist"/>
        <w:numPr>
          <w:ilvl w:val="0"/>
          <w:numId w:val="9"/>
        </w:numPr>
        <w:ind w:left="709"/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Opracowanie listy kluczowych kompetencji wymaganych w obszarze obrotu energią i gazem.</w:t>
      </w:r>
    </w:p>
    <w:p w14:paraId="729FDD3D" w14:textId="5160452C" w:rsidR="00C60869" w:rsidRPr="00C609C8" w:rsidRDefault="00C609C8" w:rsidP="00C609C8">
      <w:pPr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Należy również opracować i przedstawić harmonogram rozpoczęcia działalności </w:t>
      </w:r>
      <w:r w:rsidR="00C60869" w:rsidRP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obrotu </w:t>
      </w:r>
      <w:r w:rsidRP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w GK WĘGLOKOKS z uwzględnieniem </w:t>
      </w:r>
    </w:p>
    <w:p w14:paraId="21B01731" w14:textId="0C806715" w:rsidR="00C60869" w:rsidRPr="00C609C8" w:rsidRDefault="00C60869" w:rsidP="00C609C8">
      <w:pPr>
        <w:pStyle w:val="Akapitzlist"/>
        <w:numPr>
          <w:ilvl w:val="0"/>
          <w:numId w:val="10"/>
        </w:numPr>
        <w:ind w:left="709"/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Określenie wymaganych koncesji i pozwoleń</w:t>
      </w:r>
      <w:r w:rsid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,</w:t>
      </w:r>
    </w:p>
    <w:p w14:paraId="7B7669DF" w14:textId="34FF4634" w:rsidR="00C60869" w:rsidRPr="00C609C8" w:rsidRDefault="00C60869" w:rsidP="00C609C8">
      <w:pPr>
        <w:pStyle w:val="Akapitzlist"/>
        <w:numPr>
          <w:ilvl w:val="0"/>
          <w:numId w:val="10"/>
        </w:numPr>
        <w:ind w:left="709"/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Przystąpienie do obrotu energią i gazem</w:t>
      </w:r>
      <w:r w:rsid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,</w:t>
      </w:r>
    </w:p>
    <w:p w14:paraId="0C5AF1E2" w14:textId="643EC517" w:rsidR="00680AEB" w:rsidRPr="00C609C8" w:rsidRDefault="00C60869" w:rsidP="00C609C8">
      <w:pPr>
        <w:pStyle w:val="Akapitzlist"/>
        <w:numPr>
          <w:ilvl w:val="0"/>
          <w:numId w:val="10"/>
        </w:numPr>
        <w:ind w:left="709"/>
        <w:jc w:val="both"/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</w:pPr>
      <w:r w:rsidRP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 xml:space="preserve">Opracowanie harmonogramu rzeczowo-finansowego na potrzeby rozwoju obrotu </w:t>
      </w:r>
      <w:r w:rsidR="00C609C8">
        <w:rPr>
          <w:rFonts w:ascii="MyriadPro-Regular" w:hAnsi="MyriadPro-Regular" w:cs="MyriadPro-Regular"/>
          <w:i/>
          <w:color w:val="538135" w:themeColor="accent6" w:themeShade="BF"/>
          <w:szCs w:val="24"/>
          <w:lang w:val="pl-PL"/>
        </w:rPr>
        <w:t>w GK WĘGLOKOKS</w:t>
      </w:r>
    </w:p>
    <w:sectPr w:rsidR="00680AEB" w:rsidRPr="00C609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39E58" w16cex:dateUtc="2022-02-01T10:56:00Z"/>
  <w16cex:commentExtensible w16cex:durableId="25A39ED1" w16cex:dateUtc="2022-02-01T10:58:00Z"/>
  <w16cex:commentExtensible w16cex:durableId="25A39EF0" w16cex:dateUtc="2022-02-01T10:58:00Z"/>
  <w16cex:commentExtensible w16cex:durableId="25A3AB3F" w16cex:dateUtc="2022-02-01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33EAF5E" w16cid:durableId="25A39E58"/>
  <w16cid:commentId w16cid:paraId="56121563" w16cid:durableId="25A39ED1"/>
  <w16cid:commentId w16cid:paraId="488EAD2A" w16cid:durableId="25A39EF0"/>
  <w16cid:commentId w16cid:paraId="700E5526" w16cid:durableId="25A3AB3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20F87" w14:textId="77777777" w:rsidR="00B94217" w:rsidRDefault="00B94217" w:rsidP="00B94217">
      <w:pPr>
        <w:spacing w:after="0" w:line="240" w:lineRule="auto"/>
      </w:pPr>
      <w:r>
        <w:separator/>
      </w:r>
    </w:p>
  </w:endnote>
  <w:endnote w:type="continuationSeparator" w:id="0">
    <w:p w14:paraId="40999296" w14:textId="77777777" w:rsidR="00B94217" w:rsidRDefault="00B94217" w:rsidP="00B94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Regular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B0184" w14:textId="77777777" w:rsidR="00B94217" w:rsidRDefault="00B942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92D51" w14:textId="77777777" w:rsidR="00B94217" w:rsidRDefault="00B9421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2478C" w14:textId="77777777" w:rsidR="00B94217" w:rsidRDefault="00B942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78B63" w14:textId="77777777" w:rsidR="00B94217" w:rsidRDefault="00B94217" w:rsidP="00B94217">
      <w:pPr>
        <w:spacing w:after="0" w:line="240" w:lineRule="auto"/>
      </w:pPr>
      <w:r>
        <w:separator/>
      </w:r>
    </w:p>
  </w:footnote>
  <w:footnote w:type="continuationSeparator" w:id="0">
    <w:p w14:paraId="2BF4E93B" w14:textId="77777777" w:rsidR="00B94217" w:rsidRDefault="00B94217" w:rsidP="00B94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463AF" w14:textId="77777777" w:rsidR="00B94217" w:rsidRDefault="00B942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0CD38A" w14:textId="31100535" w:rsidR="00B94217" w:rsidRDefault="00B94217" w:rsidP="00B94217">
    <w:pPr>
      <w:pStyle w:val="Nagwek"/>
      <w:tabs>
        <w:tab w:val="clear" w:pos="9072"/>
      </w:tabs>
    </w:pPr>
    <w:bookmarkStart w:id="0" w:name="_GoBack"/>
    <w:bookmarkEnd w:id="0"/>
    <w:r>
      <w:t>Załącznik nr 1 do Umowy nr ………….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B0BB0" w14:textId="77777777" w:rsidR="00B94217" w:rsidRDefault="00B942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117A0"/>
    <w:multiLevelType w:val="hybridMultilevel"/>
    <w:tmpl w:val="EA92938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95617"/>
    <w:multiLevelType w:val="hybridMultilevel"/>
    <w:tmpl w:val="C3F87D28"/>
    <w:lvl w:ilvl="0" w:tplc="6726A69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46C7D"/>
    <w:multiLevelType w:val="hybridMultilevel"/>
    <w:tmpl w:val="820098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10172"/>
    <w:multiLevelType w:val="hybridMultilevel"/>
    <w:tmpl w:val="2DF0B54E"/>
    <w:lvl w:ilvl="0" w:tplc="6726A698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8414F"/>
    <w:multiLevelType w:val="hybridMultilevel"/>
    <w:tmpl w:val="EA92938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22371"/>
    <w:multiLevelType w:val="hybridMultilevel"/>
    <w:tmpl w:val="DBA4E4D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635B5B24"/>
    <w:multiLevelType w:val="hybridMultilevel"/>
    <w:tmpl w:val="CE0C3FAA"/>
    <w:lvl w:ilvl="0" w:tplc="6726A69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84102C"/>
    <w:multiLevelType w:val="hybridMultilevel"/>
    <w:tmpl w:val="117AEF1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26338"/>
    <w:multiLevelType w:val="hybridMultilevel"/>
    <w:tmpl w:val="6D04A7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59E"/>
    <w:rsid w:val="000061F0"/>
    <w:rsid w:val="0007575B"/>
    <w:rsid w:val="00133987"/>
    <w:rsid w:val="001526BE"/>
    <w:rsid w:val="001B36BD"/>
    <w:rsid w:val="001D0670"/>
    <w:rsid w:val="002476BA"/>
    <w:rsid w:val="002A13C8"/>
    <w:rsid w:val="002A5F99"/>
    <w:rsid w:val="002B3C83"/>
    <w:rsid w:val="002C3435"/>
    <w:rsid w:val="002D4314"/>
    <w:rsid w:val="00301CD0"/>
    <w:rsid w:val="00346145"/>
    <w:rsid w:val="003745FB"/>
    <w:rsid w:val="00383F4C"/>
    <w:rsid w:val="003E310B"/>
    <w:rsid w:val="00417E7F"/>
    <w:rsid w:val="004240FE"/>
    <w:rsid w:val="004A359E"/>
    <w:rsid w:val="004A455C"/>
    <w:rsid w:val="004F23A0"/>
    <w:rsid w:val="0052309D"/>
    <w:rsid w:val="0054007C"/>
    <w:rsid w:val="0056232E"/>
    <w:rsid w:val="005D40A5"/>
    <w:rsid w:val="005E486E"/>
    <w:rsid w:val="005F6A3A"/>
    <w:rsid w:val="006414EB"/>
    <w:rsid w:val="00680AEB"/>
    <w:rsid w:val="006C7B00"/>
    <w:rsid w:val="0072180F"/>
    <w:rsid w:val="007D2F66"/>
    <w:rsid w:val="007D5EFD"/>
    <w:rsid w:val="00815112"/>
    <w:rsid w:val="0083389D"/>
    <w:rsid w:val="008A4C90"/>
    <w:rsid w:val="00953EE0"/>
    <w:rsid w:val="00957340"/>
    <w:rsid w:val="00976DB2"/>
    <w:rsid w:val="00A27FE0"/>
    <w:rsid w:val="00A9717B"/>
    <w:rsid w:val="00B0608E"/>
    <w:rsid w:val="00B22A40"/>
    <w:rsid w:val="00B30B40"/>
    <w:rsid w:val="00B4031C"/>
    <w:rsid w:val="00B7302A"/>
    <w:rsid w:val="00B94217"/>
    <w:rsid w:val="00BD556F"/>
    <w:rsid w:val="00C60869"/>
    <w:rsid w:val="00C609C8"/>
    <w:rsid w:val="00CF1FB2"/>
    <w:rsid w:val="00D05937"/>
    <w:rsid w:val="00D37843"/>
    <w:rsid w:val="00D4570A"/>
    <w:rsid w:val="00D50D5D"/>
    <w:rsid w:val="00D63137"/>
    <w:rsid w:val="00D96619"/>
    <w:rsid w:val="00E45A51"/>
    <w:rsid w:val="00F0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C2857"/>
  <w15:chartTrackingRefBased/>
  <w15:docId w15:val="{5E108EB8-5669-4ECA-9479-FD27FEEFA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0869"/>
    <w:pPr>
      <w:spacing w:line="256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A27F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FE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FE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F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FE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F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FE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D067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94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4217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94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4217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2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2</Pages>
  <Words>688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Górski</dc:creator>
  <cp:keywords/>
  <dc:description/>
  <cp:lastModifiedBy>Piotr Broniszewski</cp:lastModifiedBy>
  <cp:revision>27</cp:revision>
  <cp:lastPrinted>2022-07-21T08:11:00Z</cp:lastPrinted>
  <dcterms:created xsi:type="dcterms:W3CDTF">2022-02-01T11:52:00Z</dcterms:created>
  <dcterms:modified xsi:type="dcterms:W3CDTF">2022-07-21T08:18:00Z</dcterms:modified>
</cp:coreProperties>
</file>